
<file path=[Content_Types].xml><?xml version="1.0" encoding="utf-8"?>
<Types xmlns="http://schemas.openxmlformats.org/package/2006/content-types">
  <Override PartName="/word/fontTable.xml" ContentType="application/vnd.openxmlformats-officedocument.wordprocessingml.fontTable+xml"/>
  <Override PartName="/word/_rels/document.xml.rels" ContentType="application/vnd.openxmlformats-package.relationships+xml"/>
  <Override PartName="/word/header1.xml" ContentType="application/vnd.openxmlformats-officedocument.wordprocessingml.header+xml"/>
  <Override PartName="/word/styles.xml" ContentType="application/vnd.openxmlformats-officedocument.wordprocessingml.styles+xml"/>
  <Override PartName="/word/numbering.xml" ContentType="application/vnd.openxmlformats-officedocument.wordprocessingml.numbering+xml"/>
  <Override PartName="/word/footer1.xml" ContentType="application/vnd.openxmlformats-officedocument.wordprocessingml.footer+xml"/>
  <Override PartName="/word/document.xml" ContentType="application/vnd.openxmlformats-officedocument.wordprocessingml.document.main+xml"/>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spacing w:after="0" w:before="0"/>
      </w:pPr>
      <w:r>
        <w:rPr>
          <w:sz w:val="28"/>
          <w:b/>
          <w:szCs w:val="28"/>
          <w:rFonts w:cs="Times New Roman" w:eastAsia="Times New Roman"/>
          <w:lang w:eastAsia="ru-RU"/>
        </w:rPr>
        <w:t>Доклад</w:t>
      </w:r>
    </w:p>
    <w:p>
      <w:pPr>
        <w:pStyle w:val="style0"/>
        <w:jc w:val="center"/>
        <w:spacing w:after="0" w:before="0"/>
      </w:pPr>
      <w:r>
        <w:rPr>
          <w:sz w:val="28"/>
          <w:b/>
          <w:szCs w:val="28"/>
          <w:rFonts w:cs="Times New Roman" w:eastAsia="Times New Roman"/>
          <w:lang w:eastAsia="ru-RU"/>
        </w:rPr>
        <w:t xml:space="preserve">на 17 </w:t>
      </w:r>
      <w:r>
        <w:rPr>
          <w:sz w:val="28"/>
          <w:b/>
          <w:szCs w:val="28"/>
          <w:rFonts w:cs="Times New Roman"/>
        </w:rPr>
        <w:t>заседание бассейнового совета Уральского бассейнового округа</w:t>
      </w:r>
      <w:r>
        <w:rPr>
          <w:sz w:val="28"/>
          <w:szCs w:val="28"/>
          <w:rFonts w:cs="Times New Roman" w:eastAsia="Times New Roman"/>
          <w:lang w:eastAsia="ru-RU"/>
        </w:rPr>
        <w:t xml:space="preserve">                                                           </w:t>
      </w:r>
    </w:p>
    <w:p>
      <w:pPr>
        <w:pStyle w:val="style0"/>
        <w:jc w:val="both"/>
        <w:ind w:firstLine="708" w:left="0" w:right="0"/>
      </w:pPr>
      <w:r>
        <w:rPr>
          <w:sz w:val="28"/>
          <w:szCs w:val="28"/>
          <w:lang w:val="ru-RU"/>
        </w:rPr>
      </w:r>
    </w:p>
    <w:p>
      <w:pPr>
        <w:pStyle w:val="style0"/>
        <w:jc w:val="both"/>
        <w:ind w:firstLine="708" w:left="0" w:right="0"/>
      </w:pPr>
      <w:r>
        <w:rPr>
          <w:sz w:val="28"/>
          <w:szCs w:val="28"/>
          <w:lang w:val="ru-RU"/>
        </w:rPr>
        <w:t>Уважаемые члены бассейнового совета, уважаемый Председатель (Анатолий Александрович)!</w:t>
      </w:r>
    </w:p>
    <w:p>
      <w:pPr>
        <w:pStyle w:val="style0"/>
        <w:jc w:val="both"/>
        <w:ind w:firstLine="708" w:left="0" w:right="0"/>
      </w:pPr>
      <w:r>
        <w:rPr>
          <w:sz w:val="28"/>
          <w:szCs w:val="28"/>
          <w:lang w:val="ru-RU"/>
        </w:rPr>
      </w:r>
    </w:p>
    <w:p>
      <w:pPr>
        <w:pStyle w:val="style0"/>
        <w:jc w:val="both"/>
        <w:ind w:firstLine="708" w:left="0" w:right="0"/>
      </w:pPr>
      <w:r>
        <w:rPr>
          <w:sz w:val="28"/>
          <w:szCs w:val="28"/>
          <w:lang w:val="ru-RU"/>
        </w:rPr>
        <w:t>Хочу Вас проинформировать о ходе реализации решений бассейнового совета на территории Оренбургской области.</w:t>
      </w:r>
    </w:p>
    <w:p>
      <w:pPr>
        <w:pStyle w:val="style0"/>
        <w:jc w:val="both"/>
        <w:ind w:firstLine="708" w:left="0" w:right="0"/>
      </w:pPr>
      <w:r>
        <w:rPr>
          <w:sz w:val="28"/>
          <w:szCs w:val="28"/>
          <w:lang w:val="ru-RU"/>
        </w:rPr>
      </w:r>
    </w:p>
    <w:p>
      <w:pPr>
        <w:pStyle w:val="style0"/>
        <w:numPr>
          <w:ilvl w:val="0"/>
          <w:numId w:val="2"/>
        </w:numPr>
        <w:jc w:val="both"/>
        <w:tabs>
          <w:tab w:leader="none" w:pos="993" w:val="left"/>
        </w:tabs>
        <w:ind w:firstLine="708" w:left="0" w:right="0"/>
      </w:pPr>
      <w:r>
        <w:rPr>
          <w:sz w:val="28"/>
          <w:b/>
          <w:szCs w:val="28"/>
          <w:lang w:val="ru-RU"/>
        </w:rPr>
        <w:t>О реализации постановления Правительства РФ от  18 апреля 2014 года № 360 «Об определении границ зон затопления, подтопления» и мерах по установлению  границ водоохранных зон и прибрежных защитных полос водных объектов в рамках реализации Водной стратегии РФ в соответствии с разработанными графиками выполнения указанных работ.</w:t>
      </w:r>
    </w:p>
    <w:p>
      <w:pPr>
        <w:pStyle w:val="style0"/>
        <w:jc w:val="both"/>
        <w:ind w:firstLine="708" w:left="0" w:right="0"/>
      </w:pPr>
      <w:r>
        <w:rPr>
          <w:sz w:val="28"/>
          <w:szCs w:val="28"/>
          <w:lang w:val="ru-RU"/>
        </w:rPr>
        <w:t>В соответствии с поручением заместителя председателя Правительства Российской Федерации Д.Н. Козака в июне 2016 года был актуализирован график выполнения мероприятий по внесению в базу данных Федеральной государственной информационной системы территориального планирования сведений о зонах с особыми условиями использования территорий в отношении водных объектов.</w:t>
      </w:r>
    </w:p>
    <w:p>
      <w:pPr>
        <w:pStyle w:val="style0"/>
        <w:jc w:val="both"/>
        <w:ind w:firstLine="708" w:left="0" w:right="0"/>
      </w:pPr>
      <w:r>
        <w:rPr>
          <w:sz w:val="28"/>
          <w:szCs w:val="28"/>
          <w:lang w:val="ru-RU"/>
        </w:rPr>
        <w:t>Правительством Оренбургской области совместно с органами местного самоуправления проводится работа по выработке предложений об определении границ зон затопления, подтопления и карт (планов) объектов землеустройства. В настоящее время процедуру согласования проходят карты (планы) и предложения по определению границ зон затопления территорий в границах города Бузулук и Новосергиевского района Оренбургской области.</w:t>
      </w:r>
    </w:p>
    <w:p>
      <w:pPr>
        <w:pStyle w:val="style0"/>
        <w:jc w:val="both"/>
        <w:ind w:firstLine="708" w:left="0" w:right="0"/>
      </w:pPr>
      <w:r>
        <w:rPr>
          <w:sz w:val="28"/>
          <w:szCs w:val="28"/>
          <w:lang w:val="ru-RU"/>
        </w:rPr>
        <w:t xml:space="preserve">Вместе с тем, по предварительным расчетам на территории области необходимо установить 30 000 км границ зон затопления, подтопления, ориентировочная стоимость которых составит 2,5 млрд. рублей. Весь объем данных работ можно будет выполнить только при условии наличия финансирования из федерального бюджета. </w:t>
      </w:r>
    </w:p>
    <w:p>
      <w:pPr>
        <w:pStyle w:val="style0"/>
        <w:jc w:val="both"/>
        <w:ind w:firstLine="708" w:left="0" w:right="0"/>
      </w:pPr>
      <w:r>
        <w:rPr>
          <w:sz w:val="28"/>
          <w:szCs w:val="28"/>
          <w:lang w:val="ru-RU"/>
        </w:rPr>
      </w:r>
    </w:p>
    <w:p>
      <w:pPr>
        <w:pStyle w:val="style0"/>
        <w:jc w:val="both"/>
        <w:ind w:firstLine="708" w:left="0" w:right="0"/>
      </w:pPr>
      <w:r>
        <w:rPr>
          <w:sz w:val="28"/>
          <w:szCs w:val="28"/>
          <w:lang w:val="ru-RU"/>
        </w:rPr>
        <w:t>На территории Оренбургской области продолжается работа по установлению границ водоохранных зон и прибрежных защитных полос водных объектов.</w:t>
      </w:r>
    </w:p>
    <w:p>
      <w:pPr>
        <w:pStyle w:val="style0"/>
        <w:jc w:val="both"/>
        <w:ind w:firstLine="708" w:left="0" w:right="0"/>
      </w:pPr>
      <w:r>
        <w:rPr>
          <w:sz w:val="28"/>
          <w:szCs w:val="28"/>
          <w:lang w:val="ru-RU"/>
        </w:rPr>
        <w:t xml:space="preserve">В результате предпринятых мер по охране водных объектов в 2016 году в пределах области проведены работы по </w:t>
      </w:r>
      <w:r>
        <w:rPr>
          <w:sz w:val="28"/>
          <w:szCs w:val="28"/>
          <w:bCs/>
          <w:rFonts w:cs="Times New Roman" w:eastAsia="Times New Roman"/>
          <w:lang w:eastAsia="ru-RU" w:val="ru-RU"/>
        </w:rPr>
        <w:t>определению  границ водоохранных зон и прибрежных защитных полос водных объектов общей протяженностью 1581,12 км на</w:t>
      </w:r>
      <w:r>
        <w:rPr>
          <w:sz w:val="28"/>
          <w:szCs w:val="28"/>
          <w:lang w:val="ru-RU"/>
        </w:rPr>
        <w:t xml:space="preserve"> общую сумму </w:t>
      </w:r>
      <w:r>
        <w:rPr>
          <w:sz w:val="28"/>
          <w:szCs w:val="28"/>
          <w:bCs/>
          <w:rFonts w:cs="Times New Roman" w:eastAsia="Times New Roman"/>
          <w:lang w:eastAsia="ru-RU" w:val="ru-RU"/>
        </w:rPr>
        <w:t xml:space="preserve">13,57 млн. рублей. </w:t>
      </w:r>
    </w:p>
    <w:p>
      <w:pPr>
        <w:pStyle w:val="style0"/>
        <w:jc w:val="both"/>
        <w:ind w:firstLine="708" w:left="0" w:right="0"/>
      </w:pPr>
      <w:r>
        <w:rPr>
          <w:sz w:val="28"/>
          <w:szCs w:val="28"/>
          <w:lang w:val="ru-RU"/>
        </w:rPr>
        <w:t>Полученные в ходе выполнения данных работ сведения внесены в государственный водный реестр и поставлены на кадастровый учет.</w:t>
      </w:r>
    </w:p>
    <w:p>
      <w:pPr>
        <w:pStyle w:val="style0"/>
        <w:jc w:val="both"/>
        <w:tabs>
          <w:tab w:leader="none" w:pos="993" w:val="left"/>
        </w:tabs>
        <w:ind w:firstLine="709" w:left="0" w:right="0"/>
        <w:spacing w:after="0" w:before="0" w:line="100" w:lineRule="atLeast"/>
      </w:pPr>
      <w:r>
        <w:rPr>
          <w:sz w:val="28"/>
          <w:szCs w:val="28"/>
          <w:bCs/>
          <w:rFonts w:cs="Times New Roman" w:eastAsia="Times New Roman"/>
          <w:lang w:eastAsia="ru-RU"/>
        </w:rPr>
        <w:t>В 2017 году по указанным полномочиям планируется выполнение работ на водных объектах общей протяженностью 1792,53 км на сумму 11, 9 млн. рублей.</w:t>
      </w:r>
    </w:p>
    <w:p>
      <w:pPr>
        <w:pStyle w:val="style0"/>
        <w:jc w:val="both"/>
        <w:ind w:firstLine="708" w:left="0" w:right="0"/>
      </w:pPr>
      <w:r>
        <w:rPr>
          <w:sz w:val="28"/>
          <w:szCs w:val="28"/>
          <w:lang w:val="ru-RU"/>
        </w:rPr>
      </w:r>
    </w:p>
    <w:p>
      <w:pPr>
        <w:pStyle w:val="style0"/>
        <w:numPr>
          <w:ilvl w:val="0"/>
          <w:numId w:val="2"/>
        </w:numPr>
        <w:jc w:val="both"/>
        <w:ind w:firstLine="708" w:left="0" w:right="0"/>
      </w:pPr>
      <w:r>
        <w:rPr>
          <w:sz w:val="28"/>
          <w:b/>
          <w:szCs w:val="28"/>
          <w:lang w:val="ru-RU"/>
        </w:rPr>
        <w:t>О ходе выполнения мероприятий Федеральной целевой программы «Развитие водохозяйственного комплекса Российской Федерации в 2012-2020 годах».</w:t>
      </w:r>
    </w:p>
    <w:p>
      <w:pPr>
        <w:pStyle w:val="style0"/>
        <w:jc w:val="both"/>
        <w:ind w:firstLine="709" w:left="0" w:right="0"/>
        <w:spacing w:after="0" w:before="0" w:line="100" w:lineRule="atLeast"/>
      </w:pPr>
      <w:r>
        <w:rPr>
          <w:sz w:val="28"/>
          <w:szCs w:val="28"/>
          <w:rFonts w:cs="Times New Roman"/>
        </w:rPr>
        <w:t>В рамках подпрограммы «Развитие водохозяйственного комплекса  Оренбургской области»</w:t>
      </w:r>
      <w:r>
        <w:rPr>
          <w:sz w:val="28"/>
          <w:szCs w:val="28"/>
        </w:rPr>
        <w:t xml:space="preserve"> </w:t>
      </w:r>
      <w:r>
        <w:rPr>
          <w:sz w:val="28"/>
          <w:szCs w:val="28"/>
          <w:rFonts w:cs="Times New Roman"/>
        </w:rPr>
        <w:t>государственной программы «Воспроизводство и использование природных ресурсов Оренбургской области» на 2014 - 2020 годы в 2016 году выполнены следующие мероприятия по капитальному ремонту:</w:t>
      </w:r>
    </w:p>
    <w:p>
      <w:pPr>
        <w:pStyle w:val="style27"/>
        <w:numPr>
          <w:ilvl w:val="0"/>
          <w:numId w:val="1"/>
        </w:numPr>
        <w:jc w:val="both"/>
        <w:tabs>
          <w:tab w:leader="none" w:pos="851" w:val="left"/>
          <w:tab w:leader="none" w:pos="993" w:val="left"/>
        </w:tabs>
        <w:ind w:firstLine="709" w:left="0" w:right="0"/>
        <w:spacing w:after="0" w:before="0" w:line="100" w:lineRule="atLeast"/>
      </w:pPr>
      <w:r>
        <w:rPr>
          <w:sz w:val="28"/>
          <w:szCs w:val="28"/>
          <w:rFonts w:cs="Times New Roman" w:eastAsia="Times New Roman"/>
          <w:lang w:eastAsia="ru-RU"/>
        </w:rPr>
        <w:t>Шлюза Большой Уран в совхозе «Уран» Новосергиевского района Оренбургской области</w:t>
      </w:r>
    </w:p>
    <w:p>
      <w:pPr>
        <w:pStyle w:val="style0"/>
        <w:jc w:val="both"/>
        <w:overflowPunct w:val="false"/>
        <w:ind w:firstLine="709" w:left="0" w:right="0"/>
        <w:spacing w:after="0" w:before="0" w:line="100" w:lineRule="atLeast"/>
      </w:pPr>
      <w:r>
        <w:rPr>
          <w:sz w:val="28"/>
          <w:szCs w:val="28"/>
          <w:bCs/>
          <w:rFonts w:cs="Times New Roman" w:eastAsia="Times New Roman"/>
          <w:lang w:eastAsia="ar-SA"/>
        </w:rPr>
        <w:t>Объём финансирования по данному объекту составил в 2016 году – 20,3 млн. рублей (в том числе за счет средств федерального бюджета 14,9 млн. рублей, средств консолидированного бюджета 5,4 млн. рублей).</w:t>
      </w:r>
    </w:p>
    <w:p>
      <w:pPr>
        <w:pStyle w:val="style0"/>
        <w:jc w:val="both"/>
        <w:overflowPunct w:val="false"/>
        <w:ind w:firstLine="709" w:left="0" w:right="0"/>
        <w:spacing w:after="0" w:before="0" w:line="100" w:lineRule="atLeast"/>
      </w:pPr>
      <w:r>
        <w:rPr>
          <w:sz w:val="28"/>
          <w:szCs w:val="28"/>
          <w:rFonts w:cs="Times New Roman" w:eastAsia="Times New Roman"/>
          <w:lang w:eastAsia="ru-RU"/>
        </w:rPr>
        <w:t>2. Комплекса гидротехнических сооружений, находящихся в 0,5 км северо-западнее с. Чесноковка Переволоцкого района Оренбургской области с общим объемом</w:t>
      </w:r>
      <w:r>
        <w:rPr>
          <w:sz w:val="28"/>
          <w:szCs w:val="28"/>
          <w:bCs/>
          <w:rFonts w:cs="Times New Roman" w:eastAsia="Times New Roman"/>
          <w:lang w:eastAsia="ar-SA"/>
        </w:rPr>
        <w:t xml:space="preserve"> финансирования – 12,7 млн. рублей (в том числе за счет средств федерального бюджета 10,1 млн. рублей, средств консолидированного бюджета 2,7 млн. рублей). </w:t>
      </w:r>
    </w:p>
    <w:p>
      <w:pPr>
        <w:pStyle w:val="style0"/>
        <w:jc w:val="both"/>
        <w:overflowPunct w:val="false"/>
        <w:ind w:firstLine="709" w:left="0" w:right="-30"/>
        <w:spacing w:after="0" w:before="0" w:line="100" w:lineRule="atLeast"/>
      </w:pPr>
      <w:r>
        <w:rPr>
          <w:sz w:val="28"/>
          <w:szCs w:val="28"/>
          <w:bCs/>
          <w:rFonts w:cs="Times New Roman" w:eastAsia="Times New Roman"/>
          <w:lang w:eastAsia="ar-SA"/>
        </w:rPr>
        <w:t>3. Гидротехнических сооружений</w:t>
      </w:r>
      <w:r>
        <w:rPr>
          <w:sz w:val="28"/>
          <w:szCs w:val="28"/>
          <w:rFonts w:cs="Times New Roman" w:eastAsia="Times New Roman"/>
          <w:lang w:eastAsia="ru-RU"/>
        </w:rPr>
        <w:t xml:space="preserve"> двух прудов на территории МО Кулагинский сельсовет Новосергиевского района Оренбургской области.</w:t>
      </w:r>
      <w:r>
        <w:rPr>
          <w:sz w:val="28"/>
          <w:szCs w:val="28"/>
          <w:bCs/>
          <w:rFonts w:cs="Times New Roman" w:eastAsia="Times New Roman"/>
          <w:lang w:eastAsia="ar-SA"/>
        </w:rPr>
        <w:t xml:space="preserve"> </w:t>
      </w:r>
    </w:p>
    <w:p>
      <w:pPr>
        <w:pStyle w:val="style0"/>
        <w:jc w:val="both"/>
        <w:tabs>
          <w:tab w:leader="none" w:pos="10035" w:val="left"/>
        </w:tabs>
        <w:overflowPunct w:val="false"/>
        <w:ind w:firstLine="709" w:left="0" w:right="-30"/>
        <w:spacing w:after="0" w:before="0" w:line="100" w:lineRule="atLeast"/>
      </w:pPr>
      <w:r>
        <w:rPr>
          <w:sz w:val="28"/>
          <w:szCs w:val="28"/>
          <w:bCs/>
          <w:rFonts w:cs="Times New Roman" w:eastAsia="Times New Roman"/>
          <w:lang w:eastAsia="ar-SA"/>
        </w:rPr>
        <w:t>Затраты на финансирование работ в отчетном периоде составили 13,4 млн. рублей (в том числе за счет средств областного бюджета 12,7 млн. рублей, средств бюджета муниципального образования 0,7 млн. рублей).</w:t>
      </w:r>
    </w:p>
    <w:p>
      <w:pPr>
        <w:pStyle w:val="style0"/>
        <w:jc w:val="both"/>
        <w:overflowPunct w:val="false"/>
        <w:ind w:firstLine="709" w:left="0" w:right="-30"/>
        <w:spacing w:after="0" w:before="0" w:line="100" w:lineRule="atLeast"/>
      </w:pPr>
      <w:r>
        <w:rPr>
          <w:sz w:val="28"/>
          <w:szCs w:val="28"/>
          <w:bCs/>
          <w:rFonts w:cs="Times New Roman" w:eastAsia="Times New Roman"/>
          <w:lang w:eastAsia="ar-SA"/>
        </w:rPr>
        <w:t>Работы на данных объектах завершены в полном объеме.</w:t>
      </w:r>
    </w:p>
    <w:p>
      <w:pPr>
        <w:pStyle w:val="style0"/>
        <w:jc w:val="both"/>
        <w:overflowPunct w:val="false"/>
        <w:ind w:firstLine="709" w:left="0" w:right="-30"/>
        <w:spacing w:after="0" w:before="0" w:line="100" w:lineRule="atLeast"/>
      </w:pPr>
      <w:r>
        <w:rPr>
          <w:sz w:val="28"/>
          <w:szCs w:val="28"/>
          <w:bCs/>
          <w:rFonts w:cs="Times New Roman" w:eastAsia="Times New Roman"/>
          <w:lang w:eastAsia="ar-SA"/>
        </w:rPr>
        <w:t>Общая численность защищаемого населения составила 1957 человек.</w:t>
      </w:r>
    </w:p>
    <w:p>
      <w:pPr>
        <w:pStyle w:val="style0"/>
        <w:jc w:val="both"/>
        <w:overflowPunct w:val="false"/>
        <w:ind w:firstLine="709" w:left="0" w:right="-30"/>
        <w:spacing w:after="0" w:before="0" w:line="100" w:lineRule="atLeast"/>
      </w:pPr>
      <w:r>
        <w:rPr>
          <w:sz w:val="28"/>
          <w:szCs w:val="28"/>
          <w:bCs/>
          <w:rFonts w:cs="Times New Roman" w:eastAsia="Times New Roman"/>
          <w:lang w:eastAsia="ar-SA"/>
        </w:rPr>
        <w:t xml:space="preserve">В рамках программных мероприятий в 2016 году выполнен также первый этап проектно-изыскательских работ по объекту «Реконструкция гидротехнических сооружений пруда на р. Б.Бугурусланка в с. Аксаково Бугурусланского района Оренбургской области». </w:t>
      </w:r>
    </w:p>
    <w:p>
      <w:pPr>
        <w:pStyle w:val="style0"/>
        <w:jc w:val="both"/>
        <w:tabs>
          <w:tab w:leader="none" w:pos="10035" w:val="left"/>
        </w:tabs>
        <w:overflowPunct w:val="false"/>
        <w:ind w:firstLine="709" w:left="0" w:right="-30"/>
        <w:spacing w:after="0" w:before="0" w:line="100" w:lineRule="atLeast"/>
      </w:pPr>
      <w:r>
        <w:rPr>
          <w:sz w:val="28"/>
          <w:szCs w:val="28"/>
          <w:bCs/>
          <w:rFonts w:cs="Times New Roman" w:eastAsia="Times New Roman"/>
          <w:lang w:eastAsia="ar-SA"/>
        </w:rPr>
        <w:t>Затраты на финансирование указанных работ в 2016 году составили 3 168,00 тыс. рублей (в том числе за счет средств областного бюджета 3 010,00 тыс. рублей, средств бюджета муниципального образования 158,4 тыс. рублей).</w:t>
      </w:r>
    </w:p>
    <w:p>
      <w:pPr>
        <w:pStyle w:val="style0"/>
        <w:jc w:val="both"/>
        <w:tabs>
          <w:tab w:leader="none" w:pos="10035" w:val="left"/>
        </w:tabs>
        <w:overflowPunct w:val="false"/>
        <w:ind w:firstLine="709" w:left="0" w:right="-30"/>
        <w:spacing w:after="0" w:before="0" w:line="100" w:lineRule="atLeast"/>
      </w:pPr>
      <w:r>
        <w:rPr>
          <w:sz w:val="28"/>
          <w:szCs w:val="28"/>
          <w:bCs/>
          <w:rFonts w:cs="Times New Roman" w:eastAsia="Times New Roman"/>
          <w:lang w:eastAsia="ar-SA"/>
        </w:rPr>
        <w:t>Завершение разработки проектной документации по объекту планируется в 2017 году.</w:t>
      </w:r>
    </w:p>
    <w:p>
      <w:pPr>
        <w:pStyle w:val="style0"/>
        <w:jc w:val="both"/>
        <w:widowControl/>
        <w:suppressAutoHyphens w:val="true"/>
        <w:ind w:firstLine="709" w:left="0" w:right="0"/>
        <w:spacing w:after="0" w:before="0" w:line="100" w:lineRule="atLeast"/>
      </w:pPr>
      <w:r>
        <w:rPr>
          <w:color w:val="000000"/>
          <w:sz w:val="28"/>
          <w:szCs w:val="28"/>
          <w:rFonts w:cs="Tahoma" w:eastAsia="Arial Unicode MS"/>
          <w:lang w:bidi="en-US"/>
        </w:rPr>
        <w:t xml:space="preserve">Учитывая, что данный объект является объектом культурного наследия, просим Вас рассмотреть возможность включения его в перечень </w:t>
      </w:r>
      <w:r>
        <w:rPr>
          <w:sz w:val="28"/>
          <w:szCs w:val="28"/>
          <w:rFonts w:cs="Times New Roman"/>
        </w:rPr>
        <w:t>мероприятий, предлагаемых к финансированию за счет средств федерального бюджета в 2018 – 2019 годах. Правительство Оренбургской области гарантирует софинансирование из областного бюджета.</w:t>
      </w:r>
    </w:p>
    <w:p>
      <w:pPr>
        <w:pStyle w:val="style0"/>
        <w:jc w:val="both"/>
        <w:ind w:firstLine="709" w:left="0" w:right="0"/>
        <w:spacing w:after="0" w:before="0" w:line="100" w:lineRule="atLeast"/>
      </w:pPr>
      <w:r>
        <w:rPr>
          <w:sz w:val="28"/>
          <w:szCs w:val="28"/>
          <w:rFonts w:cs="Times New Roman"/>
        </w:rPr>
      </w:r>
    </w:p>
    <w:p>
      <w:pPr>
        <w:pStyle w:val="style0"/>
        <w:jc w:val="both"/>
        <w:ind w:firstLine="709" w:left="0" w:right="0"/>
        <w:spacing w:after="0" w:before="0" w:line="100" w:lineRule="atLeast"/>
      </w:pPr>
      <w:r>
        <w:rPr>
          <w:sz w:val="28"/>
          <w:szCs w:val="28"/>
          <w:rFonts w:cs="Times New Roman"/>
        </w:rPr>
        <w:t>На реализацию полномочий по осуществлению мер по предотвращению негативного воздействия вод и ликвидации его последствий в отношении водных объектов в 2016 году из федерального бюджета бюджету Оренбургской области выделены денежные средства в виде субвенций в размере 9,31 млн. рублей на проведение следующих мероприятий:</w:t>
      </w:r>
    </w:p>
    <w:p>
      <w:pPr>
        <w:pStyle w:val="style0"/>
        <w:jc w:val="both"/>
        <w:ind w:firstLine="708" w:left="0" w:right="0"/>
        <w:spacing w:after="0" w:before="0" w:line="100" w:lineRule="atLeast"/>
      </w:pPr>
      <w:r>
        <w:rPr>
          <w:sz w:val="28"/>
          <w:szCs w:val="28"/>
          <w:rFonts w:cs="Times New Roman" w:eastAsia="Times New Roman"/>
          <w:lang w:eastAsia="ru-RU"/>
        </w:rPr>
        <w:t xml:space="preserve">- расчистка русла р. Сорока в с. Тоцкое Тоцкого района Оренбургской области с объёмом финансирования – 7,9 млн. рублей  на участке протяженностью 2,8 км. </w:t>
      </w:r>
    </w:p>
    <w:p>
      <w:pPr>
        <w:pStyle w:val="style0"/>
        <w:jc w:val="both"/>
        <w:ind w:firstLine="709" w:left="0" w:right="0"/>
        <w:spacing w:after="0" w:before="0" w:line="100" w:lineRule="atLeast"/>
      </w:pPr>
      <w:r>
        <w:rPr>
          <w:color w:val="000000"/>
          <w:sz w:val="28"/>
          <w:szCs w:val="28"/>
          <w:rFonts w:cs="Times New Roman" w:eastAsia="Times New Roman"/>
          <w:lang w:eastAsia="ru-RU"/>
        </w:rPr>
        <w:t>Государственный контракт на выполнение работ по расчистке водного объекта расторгнут в</w:t>
      </w:r>
      <w:r>
        <w:rPr>
          <w:sz w:val="28"/>
          <w:szCs w:val="28"/>
          <w:rFonts w:cs="Times New Roman" w:eastAsia="Times New Roman"/>
          <w:lang w:eastAsia="ru-RU"/>
        </w:rPr>
        <w:t xml:space="preserve"> связи с невыполнением Подрядчиком своих обязательств.</w:t>
      </w:r>
    </w:p>
    <w:p>
      <w:pPr>
        <w:pStyle w:val="style0"/>
        <w:jc w:val="both"/>
        <w:ind w:firstLine="708" w:left="0" w:right="0"/>
        <w:spacing w:after="0" w:before="0" w:line="100" w:lineRule="atLeast"/>
      </w:pPr>
      <w:r>
        <w:rPr>
          <w:sz w:val="28"/>
          <w:szCs w:val="28"/>
          <w:rFonts w:cs="Times New Roman" w:eastAsia="Times New Roman"/>
          <w:lang w:eastAsia="ru-RU"/>
        </w:rPr>
        <w:t xml:space="preserve">- спрямление русла р. Ток в с. Канчирово Александровского района Оренбургской области. Объём финансирования в 2016 году составил 1,4 млн. рублей. </w:t>
      </w:r>
    </w:p>
    <w:p>
      <w:pPr>
        <w:pStyle w:val="style0"/>
        <w:jc w:val="both"/>
        <w:ind w:firstLine="708" w:left="0" w:right="0"/>
        <w:spacing w:after="0" w:before="0" w:line="100" w:lineRule="atLeast"/>
      </w:pPr>
      <w:r>
        <w:rPr>
          <w:sz w:val="28"/>
          <w:szCs w:val="28"/>
          <w:bCs/>
          <w:rFonts w:cs="Times New Roman" w:eastAsia="Times New Roman"/>
          <w:lang w:eastAsia="ru-RU"/>
        </w:rPr>
        <w:t>В связи с поздним согласованием документации с Росводресурсами, а также длительностью процедуры проведения электронного аукциона по определению Подрядчика на выполнение работ (срок заключения Контракта приходился на декабрь 2016 года), осуществление комплекса работ в прошлом году, предусмотренных техническим заданием, не представлялось возможным.</w:t>
      </w:r>
    </w:p>
    <w:p>
      <w:pPr>
        <w:pStyle w:val="style0"/>
        <w:jc w:val="both"/>
        <w:widowControl/>
        <w:ind w:firstLine="709" w:left="0" w:right="0"/>
        <w:spacing w:after="0" w:before="0" w:line="232" w:lineRule="atLeast"/>
      </w:pPr>
      <w:r>
        <w:rPr>
          <w:sz w:val="28"/>
          <w:szCs w:val="28"/>
          <w:rFonts w:cs="Times New Roman" w:eastAsia="Times New Roman"/>
          <w:lang w:eastAsia="ru-RU"/>
        </w:rPr>
        <w:t xml:space="preserve">Реализация данного мероприятия запланирована в текущем году </w:t>
      </w:r>
      <w:r>
        <w:rPr>
          <w:sz w:val="28"/>
          <w:szCs w:val="28"/>
          <w:bCs/>
          <w:rFonts w:cs="Times New Roman" w:eastAsia="Times New Roman"/>
          <w:lang w:eastAsia="ru-RU"/>
        </w:rPr>
        <w:t>с объёмом финансирования 11,1 млн. рублей.</w:t>
      </w:r>
    </w:p>
    <w:p>
      <w:pPr>
        <w:pStyle w:val="style0"/>
        <w:jc w:val="both"/>
        <w:widowControl/>
        <w:ind w:firstLine="709" w:left="0" w:right="0"/>
        <w:spacing w:after="0" w:before="0" w:line="232" w:lineRule="atLeast"/>
      </w:pPr>
      <w:r>
        <w:rPr>
          <w:sz w:val="28"/>
          <w:szCs w:val="28"/>
          <w:bCs/>
          <w:rFonts w:cs="Times New Roman" w:eastAsia="Times New Roman"/>
          <w:lang w:eastAsia="ru-RU"/>
        </w:rPr>
      </w:r>
    </w:p>
    <w:p>
      <w:pPr>
        <w:pStyle w:val="style0"/>
        <w:jc w:val="both"/>
        <w:ind w:firstLine="708" w:left="0" w:right="0"/>
      </w:pPr>
      <w:r>
        <w:rPr>
          <w:sz w:val="28"/>
          <w:b/>
          <w:szCs w:val="28"/>
        </w:rPr>
        <w:t>III</w:t>
      </w:r>
      <w:r>
        <w:rPr>
          <w:sz w:val="28"/>
          <w:b/>
          <w:szCs w:val="28"/>
          <w:lang w:val="ru-RU"/>
        </w:rPr>
        <w:t>. О безопасной эксплуатации водохозяйственных систем и ГТС.</w:t>
      </w:r>
    </w:p>
    <w:p>
      <w:pPr>
        <w:pStyle w:val="style0"/>
        <w:jc w:val="both"/>
        <w:ind w:firstLine="709" w:left="0" w:right="0"/>
        <w:spacing w:after="0" w:before="0" w:line="100" w:lineRule="atLeast"/>
      </w:pPr>
      <w:r>
        <w:rPr>
          <w:sz w:val="28"/>
          <w:szCs w:val="28"/>
          <w:rFonts w:cs="Times New Roman" w:eastAsia="Times New Roman"/>
          <w:lang w:eastAsia="ru-RU"/>
        </w:rPr>
        <w:t>По состоянию на 01.02.2016 на территории Оренбургской области по данным Западно-Уральского управления Ростехнадзора</w:t>
      </w:r>
      <w:r>
        <w:rPr>
          <w:sz w:val="28"/>
          <w:b/>
          <w:szCs w:val="28"/>
          <w:rFonts w:cs="Times New Roman" w:eastAsia="Times New Roman"/>
          <w:lang w:eastAsia="ru-RU"/>
        </w:rPr>
        <w:t xml:space="preserve"> </w:t>
      </w:r>
      <w:r>
        <w:rPr>
          <w:sz w:val="28"/>
          <w:szCs w:val="28"/>
          <w:rFonts w:cs="Times New Roman" w:eastAsia="Times New Roman"/>
          <w:lang w:eastAsia="ru-RU"/>
        </w:rPr>
        <w:t xml:space="preserve">числилось 1605 гидротехнических сооружений, из них 277 водохозяйственных объектов с гидротехническими сооружениями, у которых не выявлен собственник или собственник которых неизвестен, либо от права собственности на которые собственник отказался. Значительное количество из них разрушено и не подлежит дальнейшей эксплуатации либо вообще отсутствует. </w:t>
      </w:r>
    </w:p>
    <w:p>
      <w:pPr>
        <w:pStyle w:val="style0"/>
        <w:jc w:val="both"/>
        <w:ind w:firstLine="567" w:left="0" w:right="-1"/>
        <w:spacing w:after="0" w:before="0" w:line="100" w:lineRule="atLeast"/>
      </w:pPr>
      <w:r>
        <w:rPr>
          <w:sz w:val="28"/>
          <w:szCs w:val="28"/>
          <w:rFonts w:cs="Times New Roman" w:eastAsia="Times New Roman"/>
          <w:lang w:eastAsia="ru-RU"/>
        </w:rPr>
        <w:t>Благодаря работе межведомственной комиссии по координации деятельности по обеспечению безопасной эксплуатации ГТС на территории Оренбургской области в 2016 году удалось актуализировать список гидротехнических сооружений на территории Оренбургской области. Западно-Уральскому управлению Ростехнадзора по итогам  4  заседаний  рекомендовано  вывести  из  перечня  327  разрушенных объектов. Список гидротехнических сооружений, не имеющих собственника, сократился на 94 объекта (60 выведено из перечня объектов как фактически несуществующих, по 34</w:t>
      </w:r>
      <w:r>
        <w:rPr>
          <w:color w:val="FF0000"/>
          <w:sz w:val="28"/>
          <w:szCs w:val="28"/>
          <w:rFonts w:cs="Times New Roman" w:eastAsia="Times New Roman"/>
          <w:lang w:eastAsia="ru-RU"/>
        </w:rPr>
        <w:t xml:space="preserve"> </w:t>
      </w:r>
      <w:r>
        <w:rPr>
          <w:sz w:val="28"/>
          <w:szCs w:val="28"/>
          <w:rFonts w:cs="Times New Roman" w:eastAsia="Times New Roman"/>
          <w:lang w:eastAsia="ru-RU"/>
        </w:rPr>
        <w:t xml:space="preserve">объектам представлены свидетельства на собственность). </w:t>
      </w:r>
    </w:p>
    <w:p>
      <w:pPr>
        <w:pStyle w:val="style0"/>
        <w:jc w:val="both"/>
        <w:tabs>
          <w:tab w:leader="none" w:pos="9497" w:val="left"/>
        </w:tabs>
        <w:ind w:firstLine="567" w:left="0" w:right="0"/>
        <w:spacing w:after="0" w:before="0" w:line="100" w:lineRule="atLeast"/>
      </w:pPr>
      <w:r>
        <w:rPr>
          <w:sz w:val="28"/>
          <w:szCs w:val="28"/>
          <w:rFonts w:cs="Times New Roman"/>
        </w:rPr>
        <w:t xml:space="preserve">В настоящее время перечень гидротехнических сооружений водохозяйственного комплекса Оренбургской области насчитывает 1286 ГТС, из них 183 водохозяйственных объекта с гидротехническими сооружениями, у которых не выявлен собственник или собственник которых неизвестен, либо от права собственности на которые собственник отказался. </w:t>
      </w:r>
    </w:p>
    <w:p>
      <w:pPr>
        <w:pStyle w:val="style0"/>
        <w:jc w:val="both"/>
        <w:tabs>
          <w:tab w:leader="none" w:pos="9497" w:val="left"/>
        </w:tabs>
        <w:ind w:firstLine="567" w:left="0" w:right="0"/>
        <w:spacing w:line="100" w:lineRule="atLeast"/>
      </w:pPr>
      <w:r>
        <w:rPr>
          <w:sz w:val="28"/>
          <w:szCs w:val="28"/>
          <w:rFonts w:cs="Times New Roman"/>
        </w:rPr>
        <w:t>Работа по исключению неработоспособных гидротехнических сооружений и оформлению действующих в собственность продолжается в текущем году.</w:t>
      </w:r>
    </w:p>
    <w:p>
      <w:pPr>
        <w:pStyle w:val="style0"/>
        <w:jc w:val="both"/>
        <w:ind w:firstLine="708" w:left="0" w:right="0"/>
      </w:pPr>
      <w:r>
        <w:rPr>
          <w:sz w:val="28"/>
          <w:b/>
          <w:szCs w:val="28"/>
        </w:rPr>
        <w:t>IV</w:t>
      </w:r>
      <w:r>
        <w:rPr>
          <w:sz w:val="28"/>
          <w:b/>
          <w:szCs w:val="28"/>
          <w:lang w:val="ru-RU"/>
        </w:rPr>
        <w:t>.</w:t>
      </w:r>
      <w:r>
        <w:rPr>
          <w:lang w:val="ru-RU"/>
        </w:rPr>
        <w:t xml:space="preserve"> </w:t>
      </w:r>
      <w:r>
        <w:rPr>
          <w:sz w:val="28"/>
          <w:b/>
          <w:szCs w:val="28"/>
          <w:lang w:val="ru-RU"/>
        </w:rPr>
        <w:t>О реализации мероприятий, направленных на пресечение хозяйствующими субъектами нелегитимного водопользования.</w:t>
      </w:r>
    </w:p>
    <w:p>
      <w:pPr>
        <w:pStyle w:val="style0"/>
        <w:jc w:val="both"/>
        <w:ind w:firstLine="872" w:left="0" w:right="0"/>
        <w:spacing w:after="0" w:before="0" w:line="100" w:lineRule="atLeast"/>
      </w:pPr>
      <w:r>
        <w:rPr>
          <w:color w:val="000000"/>
          <w:sz w:val="28"/>
          <w:szCs w:val="28"/>
          <w:rFonts w:cs="Tahoma" w:eastAsia="Arial Unicode MS"/>
        </w:rPr>
        <w:t>В 2016 году поступление платы по договорам водопользования в федеральный бюджет составило 24,6 млн. руб. при плане 18,9 млн. руб</w:t>
      </w:r>
      <w:r>
        <w:rPr>
          <w:sz w:val="28"/>
          <w:szCs w:val="28"/>
          <w:rFonts w:cs="Times New Roman"/>
        </w:rPr>
        <w:t>. Перевыполнение плана на 30 % связано с оплатой задолженности по плате за пользование водным объектом ОАО «Южно-Уральский никелевый комбинат» и заключением нового договора с ООО «ВодСток».</w:t>
      </w:r>
    </w:p>
    <w:p>
      <w:pPr>
        <w:pStyle w:val="style0"/>
        <w:jc w:val="both"/>
        <w:ind w:firstLine="872" w:left="0" w:right="0"/>
        <w:spacing w:after="0" w:before="0" w:line="100" w:lineRule="atLeast"/>
      </w:pPr>
      <w:r>
        <w:rPr>
          <w:color w:val="000000"/>
          <w:sz w:val="28"/>
          <w:szCs w:val="28"/>
          <w:rFonts w:cs="Tahoma" w:eastAsia="Arial Unicode MS"/>
        </w:rPr>
        <w:t xml:space="preserve">Основную плату за пользование водными объектами вносят предприятия обрабатывающего комплекса, осуществляющие распределение энергии, газа и воды  и занимающиеся добычей полезных ископаемых. </w:t>
      </w:r>
    </w:p>
    <w:p>
      <w:pPr>
        <w:pStyle w:val="style0"/>
        <w:jc w:val="both"/>
        <w:ind w:firstLine="851" w:left="0" w:right="0"/>
        <w:spacing w:after="0" w:before="0" w:line="100" w:lineRule="atLeast"/>
      </w:pPr>
      <w:r>
        <w:rPr>
          <w:sz w:val="28"/>
          <w:szCs w:val="28"/>
          <w:rFonts w:cs="Times New Roman" w:eastAsia="Calibri"/>
        </w:rPr>
        <w:t>Прокуратурой Оренбургской области</w:t>
      </w:r>
      <w:r>
        <w:rPr>
          <w:color w:val="000000"/>
          <w:sz w:val="28"/>
          <w:szCs w:val="28"/>
          <w:rFonts w:cs="Tahoma" w:eastAsia="Arial Unicode MS"/>
        </w:rPr>
        <w:t xml:space="preserve"> совместно с Правительством области на постоянной основе </w:t>
      </w:r>
      <w:r>
        <w:rPr>
          <w:sz w:val="28"/>
          <w:szCs w:val="28"/>
          <w:rFonts w:cs="Times New Roman" w:eastAsia="Calibri"/>
        </w:rPr>
        <w:t>ведется интенсивная работа</w:t>
      </w:r>
      <w:r>
        <w:rPr>
          <w:color w:val="000000"/>
          <w:sz w:val="28"/>
          <w:szCs w:val="28"/>
          <w:rFonts w:cs="Tahoma" w:eastAsia="Arial Unicode MS"/>
        </w:rPr>
        <w:t>, направленная на выявление и уменьшение количества нелегитимного водопользования. Данная работа дает свой результат.</w:t>
      </w:r>
    </w:p>
    <w:p>
      <w:pPr>
        <w:pStyle w:val="style0"/>
        <w:jc w:val="both"/>
        <w:ind w:firstLine="851" w:left="0" w:right="0"/>
        <w:spacing w:after="0" w:before="0" w:line="100" w:lineRule="atLeast"/>
      </w:pPr>
      <w:r>
        <w:rPr>
          <w:color w:val="000000"/>
          <w:sz w:val="28"/>
          <w:szCs w:val="28"/>
          <w:rFonts w:cs="Tahoma" w:eastAsia="Arial Unicode MS"/>
        </w:rPr>
        <w:t xml:space="preserve">Так, по состоянию на 01.04.2017 года в государственном водном реестре числится действующих 123 договора водопользования и 50 решений о предоставлении водных объектов в пользование. Восемь договоров заключены с крупными водопользователями.  </w:t>
      </w:r>
    </w:p>
    <w:p>
      <w:pPr>
        <w:pStyle w:val="style0"/>
        <w:jc w:val="both"/>
        <w:ind w:firstLine="851" w:left="0" w:right="0"/>
        <w:spacing w:after="0" w:before="0" w:line="100" w:lineRule="atLeast"/>
      </w:pPr>
      <w:r>
        <w:rPr>
          <w:color w:val="000000"/>
          <w:sz w:val="28"/>
          <w:b/>
          <w:szCs w:val="28"/>
          <w:rFonts w:cs="Tahoma" w:eastAsia="Arial Unicode MS"/>
        </w:rPr>
      </w:r>
    </w:p>
    <w:p>
      <w:pPr>
        <w:pStyle w:val="style0"/>
        <w:jc w:val="both"/>
        <w:ind w:firstLine="851" w:left="0" w:right="0"/>
        <w:spacing w:after="0" w:before="0" w:line="100" w:lineRule="atLeast"/>
      </w:pPr>
      <w:r>
        <w:rPr>
          <w:color w:val="000000"/>
          <w:sz w:val="28"/>
          <w:b/>
          <w:szCs w:val="28"/>
          <w:rFonts w:cs="Tahoma" w:eastAsia="Arial Unicode MS"/>
          <w:lang w:val="en-US"/>
        </w:rPr>
        <w:t>V</w:t>
      </w:r>
      <w:r>
        <w:rPr>
          <w:color w:val="000000"/>
          <w:sz w:val="28"/>
          <w:szCs w:val="28"/>
          <w:rFonts w:cs="Tahoma" w:eastAsia="Arial Unicode MS"/>
        </w:rPr>
        <w:t xml:space="preserve">. </w:t>
      </w:r>
      <w:r>
        <w:rPr>
          <w:color w:val="000000"/>
          <w:sz w:val="28"/>
          <w:b/>
          <w:szCs w:val="28"/>
          <w:rFonts w:cs="Tahoma" w:eastAsia="Arial Unicode MS"/>
        </w:rPr>
        <w:t>О результатах прохождения весеннего паводка 2017 года на территории Оренбургской области.</w:t>
      </w:r>
    </w:p>
    <w:p>
      <w:pPr>
        <w:pStyle w:val="style0"/>
        <w:jc w:val="both"/>
        <w:widowControl/>
        <w:ind w:firstLine="709" w:left="0" w:right="0"/>
        <w:spacing w:after="0" w:before="0" w:line="232" w:lineRule="atLeast"/>
      </w:pPr>
      <w:r>
        <w:rPr>
          <w:sz w:val="28"/>
          <w:szCs w:val="28"/>
          <w:rFonts w:cs="Times New Roman" w:eastAsia="Times New Roman"/>
          <w:lang w:eastAsia="ru-RU"/>
        </w:rPr>
        <w:t>В 2017 году на территории Оренбургской области сложилась сложная паводковая обстановка, обусловленная повышением температуры воздуха, интенсивным таянием снега и резким подъемом уровня воды в реках, повлекшей нарушение условий жизнедеятельности населения. В связи с этим на территории области в период с 16 по 21 апреля был введен режим чрезвычайной ситуации межмуниципального характера.</w:t>
      </w:r>
    </w:p>
    <w:p>
      <w:pPr>
        <w:pStyle w:val="style0"/>
        <w:jc w:val="both"/>
        <w:widowControl/>
        <w:ind w:firstLine="709" w:left="0" w:right="0"/>
        <w:spacing w:after="0" w:before="0" w:line="232" w:lineRule="atLeast"/>
      </w:pPr>
      <w:r>
        <w:rPr>
          <w:sz w:val="28"/>
          <w:szCs w:val="28"/>
          <w:rFonts w:eastAsia="Times New Roman"/>
          <w:lang w:eastAsia="ru-RU"/>
        </w:rPr>
        <w:t>Благодаря своевременно предпринятым оперативным мерам со стороны областных и муниципальных органов власти по обеспечению безопасности прохождения весеннего паводка удалось избежать негативного воздействия большой воды.</w:t>
      </w:r>
    </w:p>
    <w:p>
      <w:pPr>
        <w:pStyle w:val="style0"/>
        <w:jc w:val="both"/>
        <w:widowControl/>
        <w:ind w:firstLine="709" w:left="0" w:right="0"/>
        <w:spacing w:after="0" w:before="0" w:line="232" w:lineRule="atLeast"/>
      </w:pPr>
      <w:r>
        <w:rPr>
          <w:sz w:val="28"/>
          <w:szCs w:val="28"/>
          <w:rFonts w:cs="Times New Roman" w:eastAsia="Times New Roman"/>
          <w:lang w:eastAsia="ru-RU"/>
        </w:rPr>
        <w:t>Вместе с тем, остаются нерешенными ряд проблем, таких как обрушение левого берега р. Сакмара у с. Желтое Саракташского района. В текущем году берег обрушился еще на 3 м и теперь расстояние до железнодорожного полотна составляет 42 м.</w:t>
      </w:r>
    </w:p>
    <w:p>
      <w:pPr>
        <w:pStyle w:val="style0"/>
        <w:jc w:val="both"/>
        <w:widowControl/>
        <w:ind w:firstLine="709" w:left="0" w:right="0"/>
        <w:spacing w:after="0" w:before="0" w:line="232" w:lineRule="atLeast"/>
      </w:pPr>
      <w:r>
        <w:rPr>
          <w:sz w:val="28"/>
          <w:szCs w:val="28"/>
          <w:rFonts w:cs="Times New Roman" w:eastAsia="Times New Roman"/>
          <w:lang w:eastAsia="ru-RU"/>
        </w:rPr>
        <w:t>Кроме того существует необходимость проведения:</w:t>
      </w:r>
    </w:p>
    <w:p>
      <w:pPr>
        <w:pStyle w:val="style0"/>
        <w:jc w:val="both"/>
        <w:widowControl/>
        <w:ind w:firstLine="709" w:left="0" w:right="0"/>
        <w:spacing w:after="0" w:before="0" w:line="232" w:lineRule="atLeast"/>
      </w:pPr>
      <w:r>
        <w:rPr>
          <w:sz w:val="28"/>
          <w:szCs w:val="28"/>
          <w:rFonts w:cs="Times New Roman" w:eastAsia="Times New Roman"/>
          <w:lang w:eastAsia="ru-RU"/>
        </w:rPr>
        <w:t>- капитального ремонта Донгузского водохранилища Оренбургского района,</w:t>
      </w:r>
      <w:r>
        <w:rPr>
          <w:sz w:val="28"/>
          <w:szCs w:val="28"/>
          <w:rFonts w:cs="Times New Roman"/>
        </w:rPr>
        <w:t xml:space="preserve"> гидротехнические сооружения которого превысили нормативный срок эксплуатации и находятся в аварийном техническом состоянии с 2003 года</w:t>
      </w:r>
      <w:r>
        <w:rPr>
          <w:sz w:val="28"/>
          <w:szCs w:val="28"/>
          <w:rFonts w:cs="Times New Roman" w:eastAsia="Times New Roman"/>
          <w:lang w:eastAsia="ru-RU"/>
        </w:rPr>
        <w:t>;</w:t>
      </w:r>
    </w:p>
    <w:p>
      <w:pPr>
        <w:pStyle w:val="style0"/>
        <w:jc w:val="both"/>
        <w:widowControl/>
        <w:ind w:firstLine="709" w:left="0" w:right="0"/>
        <w:spacing w:after="0" w:before="0" w:line="232" w:lineRule="atLeast"/>
      </w:pPr>
      <w:r>
        <w:rPr>
          <w:sz w:val="28"/>
          <w:szCs w:val="28"/>
          <w:rFonts w:cs="Times New Roman" w:eastAsia="Times New Roman"/>
          <w:lang w:eastAsia="ru-RU"/>
        </w:rPr>
        <w:t>- берегоукрепления левого берега р. Донгуз у п. Экспериментальный Оренбургского района, обрушение которого представляет угрозу для жителей близлежащих домов;</w:t>
      </w:r>
    </w:p>
    <w:p>
      <w:pPr>
        <w:pStyle w:val="style0"/>
        <w:jc w:val="both"/>
        <w:widowControl/>
        <w:ind w:firstLine="709" w:left="0" w:right="0"/>
        <w:spacing w:after="0" w:before="0" w:line="232" w:lineRule="atLeast"/>
      </w:pPr>
      <w:r>
        <w:rPr>
          <w:sz w:val="28"/>
          <w:szCs w:val="28"/>
          <w:rFonts w:cs="Times New Roman" w:eastAsia="Times New Roman"/>
          <w:lang w:eastAsia="ru-RU"/>
        </w:rPr>
        <w:t xml:space="preserve">- расчистки русла р. Черная, в </w:t>
      </w:r>
      <w:r>
        <w:rPr>
          <w:sz w:val="28"/>
          <w:szCs w:val="28"/>
          <w:rFonts w:cs="Times New Roman" w:eastAsia="Calibri"/>
          <w:lang w:eastAsia="ar-SA"/>
        </w:rPr>
        <w:t>зоне затопления которой оказывается около 400 домов п. Краснохолм города Оренбурга.</w:t>
      </w:r>
    </w:p>
    <w:p>
      <w:pPr>
        <w:pStyle w:val="style0"/>
        <w:jc w:val="both"/>
        <w:widowControl/>
        <w:ind w:firstLine="709" w:left="0" w:right="0"/>
        <w:spacing w:after="0" w:before="0" w:line="232" w:lineRule="atLeast"/>
      </w:pPr>
      <w:r>
        <w:rPr>
          <w:sz w:val="28"/>
          <w:szCs w:val="28"/>
          <w:rFonts w:cs="Times New Roman" w:eastAsia="Times New Roman"/>
          <w:lang w:eastAsia="ru-RU"/>
        </w:rPr>
        <w:t>Учитывая важное</w:t>
      </w:r>
      <w:bookmarkStart w:id="0" w:name="_GoBack"/>
      <w:bookmarkEnd w:id="0"/>
      <w:r>
        <w:rPr>
          <w:sz w:val="28"/>
          <w:szCs w:val="28"/>
          <w:rFonts w:cs="Times New Roman" w:eastAsia="Times New Roman"/>
          <w:lang w:eastAsia="ru-RU"/>
        </w:rPr>
        <w:t xml:space="preserve"> социальное значение данных мероприятий предлагаем включить указанные объекты </w:t>
      </w:r>
      <w:r>
        <w:rPr>
          <w:sz w:val="28"/>
          <w:szCs w:val="28"/>
          <w:rFonts w:cs="Times New Roman"/>
        </w:rPr>
        <w:t>в федеральную целевую программу «Развитие водохозяйственного комплекса Российской Федерации в         2012–2020 годах» в целях софинансирования из федерального бюджета в 2018-2019 гг.</w:t>
      </w:r>
    </w:p>
    <w:p>
      <w:pPr>
        <w:pStyle w:val="style0"/>
        <w:jc w:val="both"/>
        <w:widowControl/>
        <w:ind w:firstLine="709" w:left="0" w:right="0"/>
        <w:spacing w:after="0" w:before="0" w:line="232" w:lineRule="atLeast"/>
      </w:pPr>
      <w:r>
        <w:rPr>
          <w:sz w:val="28"/>
          <w:szCs w:val="28"/>
          <w:rFonts w:cs="Times New Roman"/>
        </w:rPr>
      </w:r>
    </w:p>
    <w:p>
      <w:pPr>
        <w:pStyle w:val="style0"/>
        <w:jc w:val="both"/>
        <w:widowControl/>
        <w:ind w:firstLine="709" w:left="0" w:right="0"/>
        <w:spacing w:after="0" w:before="0" w:line="232" w:lineRule="atLeast"/>
      </w:pPr>
      <w:r>
        <w:rPr>
          <w:sz w:val="28"/>
          <w:szCs w:val="28"/>
          <w:rFonts w:cs="Times New Roman"/>
        </w:rPr>
        <w:t>И в заключении, хотелось бы выступить с инициативой  включения в состав бассейнового совета Уральского бассейнового округа представителя ООО «Оренбург Водоканал» - одного из крупнейших водопользователей Оренбургской области.</w:t>
      </w:r>
    </w:p>
    <w:p>
      <w:pPr>
        <w:pStyle w:val="style0"/>
        <w:jc w:val="both"/>
        <w:widowControl/>
        <w:ind w:firstLine="709" w:left="0" w:right="0"/>
        <w:spacing w:after="0" w:before="0" w:line="232" w:lineRule="atLeast"/>
      </w:pPr>
      <w:r>
        <w:rPr>
          <w:sz w:val="28"/>
          <w:szCs w:val="28"/>
          <w:rFonts w:cs="Times New Roman"/>
        </w:rPr>
      </w:r>
    </w:p>
    <w:p>
      <w:pPr>
        <w:pStyle w:val="style0"/>
        <w:jc w:val="both"/>
        <w:widowControl/>
        <w:ind w:firstLine="709" w:left="0" w:right="0"/>
        <w:spacing w:after="0" w:before="0" w:line="232" w:lineRule="atLeast"/>
      </w:pPr>
      <w:r>
        <w:rPr>
          <w:sz w:val="28"/>
          <w:szCs w:val="28"/>
          <w:rFonts w:cs="Times New Roman"/>
        </w:rPr>
      </w:r>
    </w:p>
    <w:p>
      <w:pPr>
        <w:pStyle w:val="style0"/>
        <w:jc w:val="both"/>
        <w:widowControl/>
        <w:ind w:firstLine="709" w:left="0" w:right="0"/>
        <w:spacing w:after="0" w:before="0" w:line="232" w:lineRule="atLeast"/>
      </w:pPr>
      <w:r>
        <w:rPr>
          <w:sz w:val="28"/>
          <w:szCs w:val="28"/>
          <w:rFonts w:cs="Times New Roman"/>
        </w:rPr>
        <w:t>Благодарю за внимание!</w:t>
      </w:r>
    </w:p>
    <w:sectPr>
      <w:formProt w:val="off"/>
      <w:pgSz w:h="16837" w:w="11905"/>
      <w:textDirection w:val="lrTb"/>
      <w:pgNumType w:fmt="decimal"/>
      <w:type w:val="nextPage"/>
      <w:headerReference r:id="rId2" w:type="default"/>
      <w:footerReference r:id="rId3"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auto"/>
    <w:pitch w:val="default"/>
  </w:font>
</w:fonts>
</file>

<file path=word/footer1.xml><?xml version="1.0" encoding="utf-8"?>
<w:ftr xmlns:w="http://schemas.openxmlformats.org/wordprocessingml/2006/main">
  <w:p>
    <w:pPr>
      <w:pStyle w:val="style29"/>
      <w:jc w:val="right"/>
    </w:pPr>
    <w:r>
      <w:fldChar w:fldCharType="begin"/>
    </w:r>
    <w:r>
      <w:rPr/>
      <w:fldChar w:fldCharType="begin"/>
    </w:r>
    <w:r>
      <w:instrText> PAGE </w:instrText>
    </w:r>
    <w:r>
      <w:fldChar w:fldCharType="separate"/>
    </w:r>
    <w:r>
      <w:t>5</w:t>
    </w:r>
    <w:r>
      <w:fldChar w:fldCharType="end"/>
    </w:r>
  </w:p>
  <w:p>
    <w:pPr>
      <w:pStyle w:val="style29"/>
    </w:pPr>
    <w:r>
      <w:rPr/>
    </w:r>
  </w:p>
</w:ftr>
</file>

<file path=word/header1.xml><?xml version="1.0" encoding="utf-8"?>
<w:hdr xmlns:w="http://schemas.openxmlformats.org/wordprocessingml/2006/main">
  <w:p>
    <w:pPr>
      <w:pStyle w:val="style28"/>
    </w:pPr>
    <w:r>
      <w:rPr/>
    </w:r>
  </w:p>
</w:hdr>
</file>

<file path=word/numbering.xml><?xml version="1.0" encoding="utf-8"?>
<w:numbering xmlns:w="http://schemas.openxmlformats.org/wordprocessingml/2006/main">
  <w:abstractNum w:abstractNumId="1">
    <w:lvl w:ilvl="0">
      <w:start w:val="1"/>
      <w:numFmt w:val="decimal"/>
      <w:lvlJc w:val="left"/>
      <w:lvlText w:val="%1."/>
      <w:pPr>
        <w:ind w:hanging="360" w:left="1069"/>
      </w:pPr>
    </w:lvl>
    <w:lvl w:ilvl="1">
      <w:start w:val="1"/>
      <w:numFmt w:val="lowerLetter"/>
      <w:lvlJc w:val="left"/>
      <w:lvlText w:val="%2."/>
      <w:pPr>
        <w:ind w:hanging="360" w:left="1789"/>
      </w:pPr>
    </w:lvl>
    <w:lvl w:ilvl="2">
      <w:start w:val="1"/>
      <w:numFmt w:val="lowerRoman"/>
      <w:lvlJc w:val="right"/>
      <w:lvlText w:val="%3."/>
      <w:pPr>
        <w:ind w:hanging="180" w:left="2509"/>
      </w:pPr>
    </w:lvl>
    <w:lvl w:ilvl="3">
      <w:start w:val="1"/>
      <w:numFmt w:val="decimal"/>
      <w:lvlJc w:val="left"/>
      <w:lvlText w:val="%4."/>
      <w:pPr>
        <w:ind w:hanging="360" w:left="3229"/>
      </w:pPr>
    </w:lvl>
    <w:lvl w:ilvl="4">
      <w:start w:val="1"/>
      <w:numFmt w:val="lowerLetter"/>
      <w:lvlJc w:val="left"/>
      <w:lvlText w:val="%5."/>
      <w:pPr>
        <w:ind w:hanging="360" w:left="3949"/>
      </w:pPr>
    </w:lvl>
    <w:lvl w:ilvl="5">
      <w:start w:val="1"/>
      <w:numFmt w:val="lowerRoman"/>
      <w:lvlJc w:val="right"/>
      <w:lvlText w:val="%6."/>
      <w:pPr>
        <w:ind w:hanging="180" w:left="4669"/>
      </w:pPr>
    </w:lvl>
    <w:lvl w:ilvl="6">
      <w:start w:val="1"/>
      <w:numFmt w:val="decimal"/>
      <w:lvlJc w:val="left"/>
      <w:lvlText w:val="%7."/>
      <w:pPr>
        <w:ind w:hanging="360" w:left="5389"/>
      </w:pPr>
    </w:lvl>
    <w:lvl w:ilvl="7">
      <w:start w:val="1"/>
      <w:numFmt w:val="lowerLetter"/>
      <w:lvlJc w:val="left"/>
      <w:lvlText w:val="%8."/>
      <w:pPr>
        <w:ind w:hanging="360" w:left="6109"/>
      </w:pPr>
    </w:lvl>
    <w:lvl w:ilvl="8">
      <w:start w:val="1"/>
      <w:numFmt w:val="lowerRoman"/>
      <w:lvlJc w:val="right"/>
      <w:lvlText w:val="%9."/>
      <w:pPr>
        <w:ind w:hanging="180" w:left="6829"/>
      </w:pPr>
    </w:lvl>
  </w:abstractNum>
  <w:abstractNum w:abstractNumId="2">
    <w:lvl w:ilvl="0">
      <w:start w:val="1"/>
      <w:numFmt w:val="upperRoman"/>
      <w:lvlJc w:val="left"/>
      <w:lvlText w:val="%1."/>
      <w:pPr>
        <w:ind w:hanging="720" w:left="1428"/>
      </w:pPr>
      <w:rPr>
        <w:b/>
      </w:rPr>
    </w:lvl>
    <w:lvl w:ilvl="1">
      <w:start w:val="1"/>
      <w:numFmt w:val="lowerLetter"/>
      <w:lvlJc w:val="left"/>
      <w:lvlText w:val="%2."/>
      <w:pPr>
        <w:ind w:hanging="360" w:left="1788"/>
      </w:pPr>
    </w:lvl>
    <w:lvl w:ilvl="2">
      <w:start w:val="1"/>
      <w:numFmt w:val="lowerRoman"/>
      <w:lvlJc w:val="right"/>
      <w:lvlText w:val="%3."/>
      <w:pPr>
        <w:ind w:hanging="180" w:left="2508"/>
      </w:pPr>
    </w:lvl>
    <w:lvl w:ilvl="3">
      <w:start w:val="1"/>
      <w:numFmt w:val="decimal"/>
      <w:lvlJc w:val="left"/>
      <w:lvlText w:val="%4."/>
      <w:pPr>
        <w:ind w:hanging="360" w:left="3228"/>
      </w:pPr>
    </w:lvl>
    <w:lvl w:ilvl="4">
      <w:start w:val="1"/>
      <w:numFmt w:val="lowerLetter"/>
      <w:lvlJc w:val="left"/>
      <w:lvlText w:val="%5."/>
      <w:pPr>
        <w:ind w:hanging="360" w:left="3948"/>
      </w:pPr>
    </w:lvl>
    <w:lvl w:ilvl="5">
      <w:start w:val="1"/>
      <w:numFmt w:val="lowerRoman"/>
      <w:lvlJc w:val="right"/>
      <w:lvlText w:val="%6."/>
      <w:pPr>
        <w:ind w:hanging="180" w:left="4668"/>
      </w:pPr>
    </w:lvl>
    <w:lvl w:ilvl="6">
      <w:start w:val="1"/>
      <w:numFmt w:val="decimal"/>
      <w:lvlJc w:val="left"/>
      <w:lvlText w:val="%7."/>
      <w:pPr>
        <w:ind w:hanging="360" w:left="5388"/>
      </w:pPr>
    </w:lvl>
    <w:lvl w:ilvl="7">
      <w:start w:val="1"/>
      <w:numFmt w:val="lowerLetter"/>
      <w:lvlJc w:val="left"/>
      <w:lvlText w:val="%8."/>
      <w:pPr>
        <w:ind w:hanging="360" w:left="6108"/>
      </w:pPr>
    </w:lvl>
    <w:lvl w:ilvl="8">
      <w:start w:val="1"/>
      <w:numFmt w:val="lowerRoman"/>
      <w:lvlJc w:val="right"/>
      <w:lvlText w:val="%9."/>
      <w:pPr>
        <w:ind w:hanging="180" w:left="6828"/>
      </w:pPr>
    </w:lvl>
  </w:abstractNum>
  <w:abstractNum w:abstractNumId="3">
    <w:lvl w:ilvl="0">
      <w:start w:val="1"/>
      <w:numFmt w:val="none"/>
      <w:lvlJc w:val="left"/>
      <w:lvlText w:val=""/>
      <w:pPr>
        <w:ind w:hanging="432" w:left="432"/>
      </w:pPr>
    </w:lvl>
    <w:lvl w:ilvl="1">
      <w:start w:val="1"/>
      <w:numFmt w:val="none"/>
      <w:lvlJc w:val="left"/>
      <w:lvlText w:val=""/>
      <w:pPr>
        <w:ind w:hanging="576" w:left="576"/>
      </w:pPr>
    </w:lvl>
    <w:lvl w:ilvl="2">
      <w:start w:val="1"/>
      <w:numFmt w:val="none"/>
      <w:lvlJc w:val="left"/>
      <w:lvlText w:val=""/>
      <w:pPr>
        <w:ind w:hanging="720" w:left="720"/>
      </w:pPr>
    </w:lvl>
    <w:lvl w:ilvl="3">
      <w:start w:val="1"/>
      <w:numFmt w:val="none"/>
      <w:lvlJc w:val="left"/>
      <w:lvlText w:val=""/>
      <w:pPr>
        <w:ind w:hanging="864" w:left="864"/>
      </w:pPr>
    </w:lvl>
    <w:lvl w:ilvl="4">
      <w:start w:val="1"/>
      <w:numFmt w:val="none"/>
      <w:lvlJc w:val="left"/>
      <w:lvlText w:val=""/>
      <w:pPr>
        <w:ind w:hanging="1008" w:left="1008"/>
      </w:pPr>
    </w:lvl>
    <w:lvl w:ilvl="5">
      <w:start w:val="1"/>
      <w:numFmt w:val="none"/>
      <w:lvlJc w:val="left"/>
      <w:lvlText w:val=""/>
      <w:pPr>
        <w:ind w:hanging="1152" w:left="1152"/>
      </w:pPr>
    </w:lvl>
    <w:lvl w:ilvl="6">
      <w:start w:val="1"/>
      <w:numFmt w:val="none"/>
      <w:lvlJc w:val="left"/>
      <w:lvlText w:val=""/>
      <w:pPr>
        <w:ind w:hanging="1296" w:left="1296"/>
      </w:pPr>
    </w:lvl>
    <w:lvl w:ilvl="7">
      <w:start w:val="1"/>
      <w:numFmt w:val="none"/>
      <w:lvlJc w:val="left"/>
      <w:lvlText w:val=""/>
      <w:pPr>
        <w:ind w:hanging="1440" w:left="1440"/>
      </w:pPr>
    </w:lvl>
    <w:lvl w:ilvl="8">
      <w:start w:val="1"/>
      <w:numFmt w:val="none"/>
      <w:lvlJc w:val="left"/>
      <w:lvlText w:val=""/>
      <w:pPr>
        <w:ind w:hanging="1584" w:left="1584"/>
      </w:pPr>
    </w:lvl>
  </w:abstractNum>
  <w:num w:numId="1">
    <w:abstractNumId w:val="1"/>
  </w:num>
  <w:num w:numId="2">
    <w:abstractNumId w:val="2"/>
  </w:num>
  <w:num w:numId="3">
    <w:abstractNumId w:val="3"/>
  </w:num>
</w:numbering>
</file>

<file path=word/styles.xml><?xml version="1.0" encoding="utf-8"?>
<w:styles xmlns:w="http://schemas.openxmlformats.org/wordprocessingml/2006/main">
  <w:style w:styleId="style0" w:type="paragraph">
    <w:name w:val="Базовый"/>
    <w:next w:val="style0"/>
    <w:pPr>
      <w:jc w:val="left"/>
      <w:widowControl/>
      <w:suppressAutoHyphens w:val="true"/>
      <w:tabs>
        <w:tab w:leader="none" w:pos="709" w:val="left"/>
      </w:tabs>
      <w:spacing w:after="0" w:before="0" w:line="100" w:lineRule="atLeast"/>
    </w:pPr>
    <w:rPr>
      <w:color w:val="000000"/>
      <w:sz w:val="24"/>
      <w:szCs w:val="24"/>
      <w:rFonts w:ascii="Times New Roman" w:cs="Tahoma" w:eastAsia="Arial Unicode MS" w:hAnsi="Times New Roman"/>
      <w:lang w:bidi="en-US" w:eastAsia="en-US" w:val="en-US"/>
    </w:rPr>
  </w:style>
  <w:style w:styleId="style15" w:type="character">
    <w:name w:val="ListLabel 1"/>
    <w:next w:val="style15"/>
    <w:rPr>
      <w:b/>
      <w:rFonts w:cs="Times New Roman"/>
    </w:rPr>
  </w:style>
  <w:style w:styleId="style16" w:type="character">
    <w:name w:val="ListLabel 2"/>
    <w:next w:val="style16"/>
    <w:rPr>
      <w:rFonts w:cs="Times New Roman"/>
    </w:rPr>
  </w:style>
  <w:style w:styleId="style17" w:type="character">
    <w:name w:val="ListLabel 3"/>
    <w:next w:val="style17"/>
    <w:rPr>
      <w:b/>
    </w:rPr>
  </w:style>
  <w:style w:styleId="style18" w:type="character">
    <w:name w:val="Default Paragraph Font"/>
    <w:next w:val="style18"/>
    <w:rPr/>
  </w:style>
  <w:style w:styleId="style19" w:type="character">
    <w:name w:val="Верхний колонтитул Знак"/>
    <w:basedOn w:val="style18"/>
    <w:next w:val="style19"/>
    <w:rPr/>
  </w:style>
  <w:style w:styleId="style20" w:type="character">
    <w:name w:val="Нижний колонтитул Знак"/>
    <w:basedOn w:val="style18"/>
    <w:next w:val="style20"/>
    <w:rPr/>
  </w:style>
  <w:style w:styleId="style21" w:type="character">
    <w:name w:val="Текст выноски Знак"/>
    <w:basedOn w:val="style18"/>
    <w:next w:val="style21"/>
    <w:rPr/>
  </w:style>
  <w:style w:styleId="style22" w:type="paragraph">
    <w:name w:val="Заголовок"/>
    <w:basedOn w:val="style0"/>
    <w:next w:val="style23"/>
    <w:pPr>
      <w:keepNext/>
      <w:spacing w:after="120" w:before="240"/>
    </w:pPr>
    <w:rPr>
      <w:sz w:val="28"/>
      <w:szCs w:val="28"/>
      <w:rFonts w:ascii="Arial" w:cs="Tahoma" w:eastAsia="MS Mincho" w:hAnsi="Arial"/>
    </w:rPr>
  </w:style>
  <w:style w:styleId="style23" w:type="paragraph">
    <w:name w:val="Основной текст"/>
    <w:basedOn w:val="style0"/>
    <w:next w:val="style23"/>
    <w:pPr>
      <w:spacing w:after="120" w:before="0"/>
    </w:pPr>
    <w:rPr/>
  </w:style>
  <w:style w:styleId="style24" w:type="paragraph">
    <w:name w:val="Список"/>
    <w:basedOn w:val="style23"/>
    <w:next w:val="style24"/>
    <w:pPr/>
    <w:rPr>
      <w:rFonts w:ascii="Arial" w:cs="Tahoma" w:hAnsi="Arial"/>
    </w:rPr>
  </w:style>
  <w:style w:styleId="style25" w:type="paragraph">
    <w:name w:val="Название"/>
    <w:basedOn w:val="style0"/>
    <w:next w:val="style25"/>
    <w:pPr>
      <w:suppressLineNumbers/>
      <w:spacing w:after="120" w:before="120"/>
    </w:pPr>
    <w:rPr>
      <w:sz w:val="20"/>
      <w:i/>
      <w:szCs w:val="24"/>
      <w:iCs/>
      <w:rFonts w:ascii="Arial" w:cs="Tahoma" w:hAnsi="Arial"/>
    </w:rPr>
  </w:style>
  <w:style w:styleId="style26" w:type="paragraph">
    <w:name w:val="Указатель"/>
    <w:basedOn w:val="style0"/>
    <w:next w:val="style26"/>
    <w:pPr>
      <w:suppressLineNumbers/>
    </w:pPr>
    <w:rPr>
      <w:rFonts w:ascii="Arial" w:cs="Tahoma" w:hAnsi="Arial"/>
    </w:rPr>
  </w:style>
  <w:style w:styleId="style27" w:type="paragraph">
    <w:name w:val="List Paragraph"/>
    <w:basedOn w:val="style0"/>
    <w:next w:val="style27"/>
    <w:pPr/>
    <w:rPr/>
  </w:style>
  <w:style w:styleId="style28" w:type="paragraph">
    <w:name w:val="Верхний колонтитул"/>
    <w:basedOn w:val="style0"/>
    <w:next w:val="style28"/>
    <w:pPr>
      <w:tabs>
        <w:tab w:leader="none" w:pos="4677" w:val="center"/>
        <w:tab w:leader="none" w:pos="9355" w:val="right"/>
      </w:tabs>
      <w:suppressLineNumbers/>
      <w:spacing w:after="0" w:before="0" w:line="100" w:lineRule="atLeast"/>
    </w:pPr>
    <w:rPr/>
  </w:style>
  <w:style w:styleId="style29" w:type="paragraph">
    <w:name w:val="Нижний колонтитул"/>
    <w:basedOn w:val="style0"/>
    <w:next w:val="style29"/>
    <w:pPr>
      <w:tabs>
        <w:tab w:leader="none" w:pos="4677" w:val="center"/>
        <w:tab w:leader="none" w:pos="9355" w:val="right"/>
      </w:tabs>
      <w:suppressLineNumbers/>
      <w:spacing w:after="0" w:before="0" w:line="100" w:lineRule="atLeast"/>
    </w:pPr>
    <w:rPr/>
  </w:style>
  <w:style w:styleId="style30" w:type="paragraph">
    <w:name w:val="Balloon Text"/>
    <w:basedOn w:val="style0"/>
    <w:next w:val="style30"/>
    <w:pPr/>
    <w:rPr/>
  </w:style>
  <w:style w:styleId="style31" w:type="paragraph">
    <w:name w:val="Char Char Знак Знак Знак Знак Знак Знак Знак Знак Знак Знак"/>
    <w:basedOn w:val="style0"/>
    <w:next w:val="style31"/>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
</Relationships>
</file>

<file path=docProps/app.xml><?xml version="1.0" encoding="utf-8"?>
<Properties xmlns="http://schemas.openxmlformats.org/officeDocument/2006/extended-properties" xmlns:vt="http://schemas.openxmlformats.org/officeDocument/2006/docPropsVTypes">
  <Template>Normal</Template>
  <TotalTime>1238</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2016-08-18T10:12:00.00Z</dcterms:created>
  <dc:creator>NNA</dc:creator>
  <cp:lastModifiedBy>1</cp:lastModifiedBy>
  <cp:lastPrinted>2017-05-04T12:21:00.00Z</cp:lastPrinted>
  <dcterms:modified xsi:type="dcterms:W3CDTF">2017-05-04T12:24:00.00Z</dcterms:modified>
  <cp:revision>41</cp:revision>
</cp:coreProperties>
</file>